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Default Extension="tiff" ContentType="image/tiff"/>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6E3" w:rsidRPr="0029748A" w:rsidRDefault="00313F09" w:rsidP="009656E3">
      <w:pPr>
        <w:tabs>
          <w:tab w:val="left" w:pos="2278"/>
        </w:tabs>
        <w:rPr>
          <w:rFonts w:ascii="Calibri" w:hAnsi="Calibri"/>
          <w:sz w:val="28"/>
        </w:rPr>
      </w:pPr>
    </w:p>
    <w:p w:rsidR="00B9187E" w:rsidRPr="0029748A" w:rsidRDefault="00313F09" w:rsidP="00B9187E">
      <w:pPr>
        <w:widowControl w:val="0"/>
        <w:autoSpaceDE w:val="0"/>
        <w:autoSpaceDN w:val="0"/>
        <w:adjustRightInd w:val="0"/>
        <w:spacing w:line="280" w:lineRule="atLeast"/>
        <w:textAlignment w:val="center"/>
        <w:rPr>
          <w:rFonts w:ascii="Calibri" w:hAnsi="Calibri" w:cs="Calibri"/>
          <w:b/>
          <w:sz w:val="22"/>
          <w:szCs w:val="21"/>
          <w:lang w:bidi="de-DE"/>
        </w:rPr>
      </w:pPr>
    </w:p>
    <w:p w:rsidR="009656E3" w:rsidRPr="0029748A" w:rsidRDefault="00313F09" w:rsidP="00B9187E">
      <w:pPr>
        <w:widowControl w:val="0"/>
        <w:autoSpaceDE w:val="0"/>
        <w:autoSpaceDN w:val="0"/>
        <w:adjustRightInd w:val="0"/>
        <w:spacing w:line="280" w:lineRule="atLeast"/>
        <w:textAlignment w:val="center"/>
        <w:rPr>
          <w:rFonts w:ascii="Calibri" w:hAnsi="Calibri" w:cs="Calibri"/>
          <w:b/>
          <w:sz w:val="28"/>
          <w:szCs w:val="21"/>
          <w:lang w:bidi="de-DE"/>
        </w:rPr>
      </w:pPr>
      <w:r w:rsidRPr="0029748A">
        <w:rPr>
          <w:rFonts w:ascii="Calibri" w:hAnsi="Calibri" w:cs="Calibri"/>
          <w:b/>
          <w:sz w:val="28"/>
          <w:szCs w:val="21"/>
          <w:lang w:bidi="de-DE"/>
        </w:rPr>
        <w:t>Vierter Erbbaurechtskongress am 20. und 21. Februar 2017</w:t>
      </w:r>
    </w:p>
    <w:p w:rsidR="007C7CE2" w:rsidRPr="0029748A" w:rsidRDefault="00313F09" w:rsidP="007C7CE2">
      <w:pPr>
        <w:pStyle w:val="Listenabsatz"/>
        <w:widowControl w:val="0"/>
        <w:numPr>
          <w:ilvl w:val="0"/>
          <w:numId w:val="3"/>
        </w:numPr>
        <w:autoSpaceDE w:val="0"/>
        <w:autoSpaceDN w:val="0"/>
        <w:adjustRightInd w:val="0"/>
        <w:spacing w:line="280" w:lineRule="atLeast"/>
        <w:textAlignment w:val="center"/>
        <w:rPr>
          <w:rFonts w:ascii="Calibri" w:hAnsi="Calibri" w:cs="Calibri"/>
          <w:b/>
          <w:sz w:val="22"/>
          <w:szCs w:val="21"/>
          <w:lang w:bidi="de-DE"/>
        </w:rPr>
      </w:pPr>
      <w:r w:rsidRPr="0029748A">
        <w:rPr>
          <w:rFonts w:ascii="Calibri" w:hAnsi="Calibri" w:cs="Calibri"/>
          <w:b/>
          <w:sz w:val="22"/>
          <w:szCs w:val="21"/>
          <w:lang w:bidi="de-DE"/>
        </w:rPr>
        <w:t xml:space="preserve">Fester Termin für Experten und Interessierte </w:t>
      </w:r>
    </w:p>
    <w:p w:rsidR="009656E3" w:rsidRPr="0029748A" w:rsidRDefault="00313F09" w:rsidP="009656E3">
      <w:pPr>
        <w:pStyle w:val="Listenabsatz"/>
        <w:widowControl w:val="0"/>
        <w:numPr>
          <w:ilvl w:val="0"/>
          <w:numId w:val="3"/>
        </w:numPr>
        <w:autoSpaceDE w:val="0"/>
        <w:autoSpaceDN w:val="0"/>
        <w:adjustRightInd w:val="0"/>
        <w:spacing w:line="280" w:lineRule="atLeast"/>
        <w:textAlignment w:val="center"/>
        <w:rPr>
          <w:rFonts w:ascii="Calibri" w:hAnsi="Calibri" w:cs="Calibri"/>
          <w:b/>
          <w:sz w:val="22"/>
          <w:szCs w:val="21"/>
          <w:lang w:bidi="de-DE"/>
        </w:rPr>
      </w:pPr>
      <w:r w:rsidRPr="0029748A">
        <w:rPr>
          <w:rFonts w:ascii="Calibri" w:hAnsi="Calibri" w:cs="Calibri"/>
          <w:b/>
          <w:sz w:val="22"/>
          <w:szCs w:val="21"/>
          <w:lang w:bidi="de-DE"/>
        </w:rPr>
        <w:t>Vorträge und fachlicher Austausch</w:t>
      </w:r>
    </w:p>
    <w:p w:rsidR="009656E3"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9656E3"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3B6DCE"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noProof/>
          <w:sz w:val="22"/>
          <w:szCs w:val="21"/>
        </w:rPr>
        <w:drawing>
          <wp:anchor distT="0" distB="0" distL="114300" distR="114300" simplePos="0" relativeHeight="251658240" behindDoc="0" locked="0" layoutInCell="1" allowOverlap="1">
            <wp:simplePos x="0" y="0"/>
            <wp:positionH relativeFrom="column">
              <wp:align>left</wp:align>
            </wp:positionH>
            <wp:positionV relativeFrom="paragraph">
              <wp:posOffset>0</wp:posOffset>
            </wp:positionV>
            <wp:extent cx="3512670" cy="2336800"/>
            <wp:effectExtent l="25400" t="0" r="0" b="0"/>
            <wp:wrapSquare wrapText="bothSides"/>
            <wp:docPr id="1" name="Grafik 1" descr="F_NH_collection-nurnberg-city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NH_collection-nurnberg-city_140.jpg"/>
                    <pic:cNvPicPr/>
                  </pic:nvPicPr>
                  <pic:blipFill>
                    <a:blip r:embed="rId7"/>
                    <a:stretch>
                      <a:fillRect/>
                    </a:stretch>
                  </pic:blipFill>
                  <pic:spPr>
                    <a:xfrm>
                      <a:off x="0" y="0"/>
                      <a:ext cx="3512670" cy="2336800"/>
                    </a:xfrm>
                    <a:prstGeom prst="rect">
                      <a:avLst/>
                    </a:prstGeom>
                  </pic:spPr>
                </pic:pic>
              </a:graphicData>
            </a:graphic>
          </wp:anchor>
        </w:drawing>
      </w:r>
      <w:r>
        <w:rPr>
          <w:rFonts w:ascii="Calibri" w:hAnsi="Calibri" w:cs="Calibri"/>
          <w:sz w:val="22"/>
          <w:szCs w:val="21"/>
          <w:lang w:bidi="de-DE"/>
        </w:rPr>
        <w:t xml:space="preserve">Berlin / </w:t>
      </w:r>
      <w:r>
        <w:rPr>
          <w:rFonts w:ascii="Calibri" w:hAnsi="Calibri" w:cs="Calibri"/>
          <w:sz w:val="22"/>
          <w:szCs w:val="21"/>
          <w:lang w:bidi="de-DE"/>
        </w:rPr>
        <w:t>Nürnberg, 29</w:t>
      </w:r>
      <w:r w:rsidRPr="0029748A">
        <w:rPr>
          <w:rFonts w:ascii="Calibri" w:hAnsi="Calibri" w:cs="Calibri"/>
          <w:sz w:val="22"/>
          <w:szCs w:val="21"/>
          <w:lang w:bidi="de-DE"/>
        </w:rPr>
        <w:t xml:space="preserve">.11.2016. </w:t>
      </w:r>
    </w:p>
    <w:p w:rsidR="003B6DCE"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Der Deutsche Erbbaurechtsverband lädt im Februar 2017 bereits zum vierten Mal zum Erbbaurechtskongress ein. Am 20. und 21. Februar treffen sich Erbbaurechtsgeber, Juristen, Banker, Wissenschaftler und Immobilienexperten aus ganz Deutschland in Nü</w:t>
      </w:r>
      <w:r w:rsidRPr="0029748A">
        <w:rPr>
          <w:rFonts w:ascii="Calibri" w:hAnsi="Calibri" w:cs="Calibri"/>
          <w:sz w:val="22"/>
          <w:szCs w:val="21"/>
          <w:lang w:bidi="de-DE"/>
        </w:rPr>
        <w:t xml:space="preserve">rnberg, um sich über das Erbbaurecht in all seinen Facetten auszutauschen. </w:t>
      </w: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9656E3"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 xml:space="preserve">In Fachvorträgen beleuchten die Experten zum Beispiel </w:t>
      </w: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die Auswirkung der Wohnimmobilienkreditrichtlinie auf das Erbbaurecht, die marktgerechte Ausgestaltung des Erbbauzinses, die Banken- und Gutachterperspektive auf das Erbbaurecht sowie steuerrechtliche Fragen. Zu den Referenten gehören Professor Dr. Dirk Lö</w:t>
      </w:r>
      <w:r w:rsidRPr="0029748A">
        <w:rPr>
          <w:rFonts w:ascii="Calibri" w:hAnsi="Calibri" w:cs="Calibri"/>
          <w:sz w:val="22"/>
          <w:szCs w:val="21"/>
          <w:lang w:bidi="de-DE"/>
        </w:rPr>
        <w:t xml:space="preserve">hr von der Hochschule Trier, Prof. Dr. Martin Meißner von der Kanzlei Reed Smith sowie Klaus Secker, </w:t>
      </w:r>
      <w:r w:rsidRPr="0029748A">
        <w:rPr>
          <w:rFonts w:ascii="Calibri" w:hAnsi="Calibri" w:cs="Calibri"/>
          <w:bCs/>
          <w:sz w:val="22"/>
          <w:szCs w:val="21"/>
          <w:lang w:bidi="de-DE"/>
        </w:rPr>
        <w:t>Geschäftsführer der DGR - Deutsche Grundstücksrente GmbH. Die Moderation übernimmt Tobias Henkel, Direktor der Stiftung Braunschweigischer Kulturbesitz und</w:t>
      </w:r>
      <w:r w:rsidRPr="0029748A">
        <w:rPr>
          <w:rFonts w:ascii="Calibri" w:hAnsi="Calibri" w:cs="Calibri"/>
          <w:bCs/>
          <w:sz w:val="22"/>
          <w:szCs w:val="21"/>
          <w:lang w:bidi="de-DE"/>
        </w:rPr>
        <w:t xml:space="preserve"> Vorstandsmitglied des Deutschen Erbbaurechtsverbandes.</w:t>
      </w: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„Der Erbbaurechtskongress hat sich als fester Termin für alle, die sich für das Thema interessieren und beruflich damit zu tun haben, etabliert. Schon beim dritten Erbbaurechtskongress 2016 hatten wi</w:t>
      </w:r>
      <w:r w:rsidRPr="0029748A">
        <w:rPr>
          <w:rFonts w:ascii="Calibri" w:hAnsi="Calibri" w:cs="Calibri"/>
          <w:sz w:val="22"/>
          <w:szCs w:val="21"/>
          <w:lang w:bidi="de-DE"/>
        </w:rPr>
        <w:t xml:space="preserve">r </w:t>
      </w:r>
      <w:bookmarkStart w:id="0" w:name="_GoBack"/>
      <w:bookmarkEnd w:id="0"/>
      <w:r w:rsidRPr="0029748A">
        <w:rPr>
          <w:rFonts w:ascii="Calibri" w:hAnsi="Calibri" w:cs="Calibri"/>
          <w:sz w:val="22"/>
          <w:szCs w:val="21"/>
          <w:lang w:bidi="de-DE"/>
        </w:rPr>
        <w:t xml:space="preserve">85 </w:t>
      </w:r>
      <w:r w:rsidRPr="0029748A">
        <w:rPr>
          <w:rFonts w:ascii="Calibri" w:hAnsi="Calibri" w:cs="Calibri"/>
          <w:sz w:val="22"/>
          <w:szCs w:val="21"/>
          <w:lang w:bidi="de-DE"/>
        </w:rPr>
        <w:t>Teilnehmer. Für 2017 erwarten wir mindestens die gleiche Zahl“, erklärt Hans Christian Biallas, Präsident des Deutschen Erbbaurechtsverbandes. „Die Gäste schätzen die Expertenvorträge ebenso wie den Austausch mit Kollegen und die Möglichkeit zur Verne</w:t>
      </w:r>
      <w:r w:rsidRPr="0029748A">
        <w:rPr>
          <w:rFonts w:ascii="Calibri" w:hAnsi="Calibri" w:cs="Calibri"/>
          <w:sz w:val="22"/>
          <w:szCs w:val="21"/>
          <w:lang w:bidi="de-DE"/>
        </w:rPr>
        <w:t xml:space="preserve">tzung.“ </w:t>
      </w: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9656E3"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Der vierte Erbbaurechtsk</w:t>
      </w:r>
      <w:r>
        <w:rPr>
          <w:rFonts w:ascii="Calibri" w:hAnsi="Calibri" w:cs="Calibri"/>
          <w:sz w:val="22"/>
          <w:szCs w:val="21"/>
          <w:lang w:bidi="de-DE"/>
        </w:rPr>
        <w:t>ongress findet am Montag, den 20</w:t>
      </w:r>
      <w:r w:rsidRPr="0029748A">
        <w:rPr>
          <w:rFonts w:ascii="Calibri" w:hAnsi="Calibri" w:cs="Calibri"/>
          <w:sz w:val="22"/>
          <w:szCs w:val="21"/>
          <w:lang w:bidi="de-DE"/>
        </w:rPr>
        <w:t>. und am Dienstag, den 2</w:t>
      </w:r>
      <w:r>
        <w:rPr>
          <w:rFonts w:ascii="Calibri" w:hAnsi="Calibri" w:cs="Calibri"/>
          <w:sz w:val="22"/>
          <w:szCs w:val="21"/>
          <w:lang w:bidi="de-DE"/>
        </w:rPr>
        <w:t>1</w:t>
      </w:r>
      <w:r w:rsidRPr="0029748A">
        <w:rPr>
          <w:rFonts w:ascii="Calibri" w:hAnsi="Calibri" w:cs="Calibri"/>
          <w:sz w:val="22"/>
          <w:szCs w:val="21"/>
          <w:lang w:bidi="de-DE"/>
        </w:rPr>
        <w:t>. Februar 2017 statt. Die Teilnahmegebühr für beide Kongresstage beträgt 395,- Euro zzgl. MwSt. für Verbandsmitglieder und 495,- Euro zzgl. MwSt. für Nichtmitglieder</w:t>
      </w:r>
      <w:r w:rsidRPr="0029748A">
        <w:rPr>
          <w:rFonts w:ascii="Calibri" w:hAnsi="Calibri" w:cs="Calibri"/>
          <w:sz w:val="22"/>
          <w:szCs w:val="21"/>
          <w:lang w:bidi="de-DE"/>
        </w:rPr>
        <w:t xml:space="preserve">. Veranstaltungsort ist das NH Collection Nürnberg City Hotel. Weitere Informationen zum Programm und Anmeldung unter: </w:t>
      </w:r>
      <w:hyperlink r:id="rId8" w:history="1">
        <w:r w:rsidRPr="0029748A">
          <w:rPr>
            <w:rStyle w:val="Link"/>
            <w:rFonts w:ascii="Calibri" w:hAnsi="Calibri" w:cs="Calibri"/>
            <w:color w:val="auto"/>
            <w:sz w:val="22"/>
            <w:szCs w:val="21"/>
            <w:lang w:bidi="de-DE"/>
          </w:rPr>
          <w:t>www.erbbaurechtsverband.de/kongress2017</w:t>
        </w:r>
      </w:hyperlink>
    </w:p>
    <w:p w:rsidR="00633AD7"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633AD7"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3E25EB" w:rsidRPr="0029748A" w:rsidRDefault="00313F09" w:rsidP="00B9187E">
      <w:pPr>
        <w:widowControl w:val="0"/>
        <w:autoSpaceDE w:val="0"/>
        <w:autoSpaceDN w:val="0"/>
        <w:adjustRightInd w:val="0"/>
        <w:spacing w:line="280" w:lineRule="atLeast"/>
        <w:textAlignment w:val="center"/>
        <w:rPr>
          <w:rFonts w:ascii="Calibri" w:hAnsi="Calibri" w:cs="Calibri"/>
          <w:b/>
          <w:sz w:val="22"/>
          <w:szCs w:val="21"/>
          <w:lang w:bidi="de-DE"/>
        </w:rPr>
      </w:pPr>
      <w:r w:rsidRPr="0029748A">
        <w:rPr>
          <w:rFonts w:ascii="Calibri" w:hAnsi="Calibri" w:cs="Calibri"/>
          <w:b/>
          <w:sz w:val="22"/>
          <w:szCs w:val="21"/>
          <w:lang w:bidi="de-DE"/>
        </w:rPr>
        <w:t>Über den Deutschen Erbbaurechtsver</w:t>
      </w:r>
      <w:r w:rsidRPr="0029748A">
        <w:rPr>
          <w:rFonts w:ascii="Calibri" w:hAnsi="Calibri" w:cs="Calibri"/>
          <w:b/>
          <w:sz w:val="22"/>
          <w:szCs w:val="21"/>
          <w:lang w:bidi="de-DE"/>
        </w:rPr>
        <w:t xml:space="preserve">band: </w:t>
      </w:r>
    </w:p>
    <w:p w:rsidR="007C7CE2"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Der Deutsche Erbbaurechtsverband e. V. wurde 2013 gegründet. Er ist ein Zusammenschluss aus namhaften Erbbaurechtsausgebern, die bundesweit einen erheblichen Anteil der im Erbbaurecht ausgegebenen Flächen repräsentieren, sowie</w:t>
      </w:r>
      <w:r w:rsidRPr="0029748A">
        <w:rPr>
          <w:rFonts w:ascii="Calibri" w:hAnsi="Calibri" w:cs="Calibri"/>
          <w:sz w:val="22"/>
          <w:szCs w:val="21"/>
          <w:lang w:bidi="de-DE"/>
        </w:rPr>
        <w:t xml:space="preserve"> Dienstleistern der Branche. Der Deutsche Erbbaurechtsverband vertritt die Interessen der Erbbaurechtsgeber in Deutschland gegenüber Öffentlichkeit, Medien, Politik und Verwaltung und versteht sich als universeller Ansprechpartner zum Thema Erbbaurecht. Er</w:t>
      </w:r>
      <w:r w:rsidRPr="0029748A">
        <w:rPr>
          <w:rFonts w:ascii="Calibri" w:hAnsi="Calibri" w:cs="Calibri"/>
          <w:sz w:val="22"/>
          <w:szCs w:val="21"/>
          <w:lang w:bidi="de-DE"/>
        </w:rPr>
        <w:t xml:space="preserve"> ist unabhängig, parteipolitisch neutral und nicht auf einen wirtschaftlichen Geschäftsbetrieb ausgerichtet. Der Präsident des Verbandes ist Hans Christian Biallas. Geschäftsführer ist Dr. Matthias Nagel. </w:t>
      </w:r>
      <w:hyperlink r:id="rId9" w:history="1">
        <w:r w:rsidRPr="0029748A">
          <w:rPr>
            <w:rStyle w:val="Link"/>
            <w:rFonts w:ascii="Calibri" w:hAnsi="Calibri" w:cs="Calibri"/>
            <w:color w:val="auto"/>
            <w:sz w:val="22"/>
            <w:szCs w:val="21"/>
            <w:lang w:bidi="de-DE"/>
          </w:rPr>
          <w:t>www</w:t>
        </w:r>
        <w:r w:rsidRPr="0029748A">
          <w:rPr>
            <w:rStyle w:val="Link"/>
            <w:rFonts w:ascii="Calibri" w:hAnsi="Calibri" w:cs="Calibri"/>
            <w:color w:val="auto"/>
            <w:sz w:val="22"/>
            <w:szCs w:val="21"/>
            <w:lang w:bidi="de-DE"/>
          </w:rPr>
          <w:t>.erbbaurechtsverband.de</w:t>
        </w:r>
      </w:hyperlink>
      <w:r w:rsidRPr="0029748A">
        <w:rPr>
          <w:rFonts w:ascii="Calibri" w:hAnsi="Calibri" w:cs="Calibri"/>
          <w:sz w:val="22"/>
          <w:szCs w:val="21"/>
          <w:lang w:bidi="de-DE"/>
        </w:rPr>
        <w:tab/>
      </w:r>
    </w:p>
    <w:p w:rsidR="007C7CE2"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7C7CE2" w:rsidRPr="0029748A" w:rsidRDefault="00313F09" w:rsidP="007C7CE2">
      <w:pPr>
        <w:widowControl w:val="0"/>
        <w:autoSpaceDE w:val="0"/>
        <w:autoSpaceDN w:val="0"/>
        <w:adjustRightInd w:val="0"/>
        <w:spacing w:line="280" w:lineRule="atLeast"/>
        <w:textAlignment w:val="center"/>
        <w:rPr>
          <w:rFonts w:ascii="Calibri" w:hAnsi="Calibri" w:cs="Calibri"/>
          <w:b/>
          <w:sz w:val="22"/>
          <w:szCs w:val="21"/>
          <w:lang w:bidi="de-DE"/>
        </w:rPr>
      </w:pPr>
      <w:r w:rsidRPr="0029748A">
        <w:rPr>
          <w:rFonts w:ascii="Calibri" w:hAnsi="Calibri" w:cs="Calibri"/>
          <w:b/>
          <w:sz w:val="22"/>
          <w:szCs w:val="21"/>
          <w:lang w:bidi="de-DE"/>
        </w:rPr>
        <w:t xml:space="preserve">Medienakkreditierung: </w:t>
      </w: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 xml:space="preserve">Journalisten können kostenlos am Erbbaurechtskongress teilnehmen. Bitte melden Sie sich bei Interesse bei Cathrin Christoph Kommunikation unter </w:t>
      </w:r>
      <w:hyperlink r:id="rId10" w:history="1">
        <w:r w:rsidRPr="0029748A">
          <w:rPr>
            <w:rStyle w:val="Link"/>
            <w:rFonts w:ascii="Calibri" w:hAnsi="Calibri" w:cs="Calibri"/>
            <w:color w:val="auto"/>
            <w:sz w:val="22"/>
            <w:szCs w:val="21"/>
            <w:lang w:bidi="de-DE"/>
          </w:rPr>
          <w:t>info@christoph-kommunikation.de</w:t>
        </w:r>
      </w:hyperlink>
      <w:r w:rsidRPr="0029748A">
        <w:rPr>
          <w:rFonts w:ascii="Calibri" w:hAnsi="Calibri" w:cs="Calibri"/>
          <w:sz w:val="22"/>
          <w:szCs w:val="21"/>
          <w:lang w:bidi="de-DE"/>
        </w:rPr>
        <w:t xml:space="preserve"> an. </w:t>
      </w: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9656E3" w:rsidRPr="0029748A" w:rsidRDefault="00313F09" w:rsidP="00B9187E">
      <w:pPr>
        <w:widowControl w:val="0"/>
        <w:autoSpaceDE w:val="0"/>
        <w:autoSpaceDN w:val="0"/>
        <w:adjustRightInd w:val="0"/>
        <w:spacing w:line="280" w:lineRule="atLeast"/>
        <w:textAlignment w:val="center"/>
        <w:rPr>
          <w:rFonts w:ascii="Calibri" w:hAnsi="Calibri" w:cs="Calibri"/>
          <w:b/>
          <w:sz w:val="22"/>
          <w:szCs w:val="21"/>
          <w:lang w:bidi="de-DE"/>
        </w:rPr>
      </w:pPr>
      <w:r w:rsidRPr="0029748A">
        <w:rPr>
          <w:rFonts w:ascii="Calibri" w:hAnsi="Calibri" w:cs="Calibri"/>
          <w:b/>
          <w:sz w:val="22"/>
          <w:szCs w:val="21"/>
          <w:lang w:bidi="de-DE"/>
        </w:rPr>
        <w:t xml:space="preserve">Bild: </w:t>
      </w:r>
    </w:p>
    <w:p w:rsidR="003E25EB"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BU: Veranstaltungsort des v</w:t>
      </w:r>
      <w:r>
        <w:rPr>
          <w:rFonts w:ascii="Calibri" w:hAnsi="Calibri" w:cs="Calibri"/>
          <w:sz w:val="22"/>
          <w:szCs w:val="21"/>
          <w:lang w:bidi="de-DE"/>
        </w:rPr>
        <w:t>ierten Erbbaurechtskongresses: d</w:t>
      </w:r>
      <w:r w:rsidRPr="0029748A">
        <w:rPr>
          <w:rFonts w:ascii="Calibri" w:hAnsi="Calibri" w:cs="Calibri"/>
          <w:sz w:val="22"/>
          <w:szCs w:val="21"/>
          <w:lang w:bidi="de-DE"/>
        </w:rPr>
        <w:t>as NH Collection Nürnberg City Hotel</w:t>
      </w:r>
    </w:p>
    <w:p w:rsidR="003E25EB"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Quelle: NH Hotel Group</w:t>
      </w: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 xml:space="preserve">Die druckfähige Datei schicken wir Ihnen auf Anfrage gern: </w:t>
      </w:r>
      <w:hyperlink r:id="rId11" w:history="1">
        <w:r w:rsidRPr="0029748A">
          <w:rPr>
            <w:rStyle w:val="Link"/>
            <w:rFonts w:ascii="Calibri" w:hAnsi="Calibri" w:cs="Calibri"/>
            <w:color w:val="auto"/>
            <w:sz w:val="22"/>
            <w:szCs w:val="21"/>
            <w:lang w:bidi="de-DE"/>
          </w:rPr>
          <w:t>info@christoph-kommunikation.de</w:t>
        </w:r>
      </w:hyperlink>
      <w:r w:rsidRPr="0029748A">
        <w:rPr>
          <w:rFonts w:ascii="Calibri" w:hAnsi="Calibri" w:cs="Calibri"/>
          <w:sz w:val="22"/>
          <w:szCs w:val="21"/>
          <w:lang w:bidi="de-DE"/>
        </w:rPr>
        <w:tab/>
      </w: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313F09" w:rsidP="00B9187E">
      <w:pPr>
        <w:widowControl w:val="0"/>
        <w:autoSpaceDE w:val="0"/>
        <w:autoSpaceDN w:val="0"/>
        <w:adjustRightInd w:val="0"/>
        <w:spacing w:line="280" w:lineRule="atLeast"/>
        <w:textAlignment w:val="center"/>
        <w:rPr>
          <w:rFonts w:ascii="Calibri" w:hAnsi="Calibri" w:cs="Calibri"/>
          <w:sz w:val="22"/>
          <w:szCs w:val="21"/>
          <w:lang w:bidi="de-DE"/>
        </w:rPr>
      </w:pPr>
    </w:p>
    <w:p w:rsidR="009656E3" w:rsidRPr="0029748A" w:rsidRDefault="00313F09" w:rsidP="009656E3">
      <w:pPr>
        <w:widowControl w:val="0"/>
        <w:autoSpaceDE w:val="0"/>
        <w:autoSpaceDN w:val="0"/>
        <w:adjustRightInd w:val="0"/>
        <w:spacing w:line="280" w:lineRule="atLeast"/>
        <w:textAlignment w:val="center"/>
        <w:rPr>
          <w:rFonts w:ascii="Calibri" w:hAnsi="Calibri" w:cs="Calibri"/>
          <w:sz w:val="22"/>
          <w:szCs w:val="21"/>
          <w:lang w:bidi="de-DE"/>
        </w:rPr>
      </w:pPr>
    </w:p>
    <w:sectPr w:rsidR="009656E3" w:rsidRPr="0029748A" w:rsidSect="009656E3">
      <w:headerReference w:type="default" r:id="rId12"/>
      <w:headerReference w:type="first" r:id="rId13"/>
      <w:footerReference w:type="first" r:id="rId14"/>
      <w:pgSz w:w="11900" w:h="16840"/>
      <w:pgMar w:top="2977" w:right="1134" w:bottom="1701" w:left="1191" w:header="709" w:footer="709"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F09" w:rsidRDefault="00313F09" w:rsidP="009656E3">
      <w:r>
        <w:separator/>
      </w:r>
    </w:p>
  </w:endnote>
  <w:endnote w:type="continuationSeparator" w:id="0">
    <w:p w:rsidR="00313F09" w:rsidRDefault="00313F09" w:rsidP="009656E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altName w:val="Arial"/>
    <w:panose1 w:val="02000803000000090004"/>
    <w:charset w:val="00"/>
    <w:family w:val="auto"/>
    <w:pitch w:val="variable"/>
    <w:sig w:usb0="00000000" w:usb1="5000A1FF" w:usb2="00000000" w:usb3="00000000" w:csb0="000001BF"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AD7" w:rsidRDefault="00313F09">
    <w:pPr>
      <w:pStyle w:val="Fuzeile"/>
    </w:pPr>
    <w:r>
      <w:rPr>
        <w:noProof/>
      </w:rPr>
      <w:drawing>
        <wp:anchor distT="0" distB="0" distL="114300" distR="114300" simplePos="0" relativeHeight="251667456" behindDoc="0" locked="0" layoutInCell="1" allowOverlap="1">
          <wp:simplePos x="0" y="0"/>
          <wp:positionH relativeFrom="column">
            <wp:posOffset>-21590</wp:posOffset>
          </wp:positionH>
          <wp:positionV relativeFrom="paragraph">
            <wp:posOffset>-342265</wp:posOffset>
          </wp:positionV>
          <wp:extent cx="5853600" cy="66600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2_Footer-Briefbogen_DEV_v1.0.0-Seite001.tiff"/>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853600" cy="666000"/>
                  </a:xfrm>
                  <a:prstGeom prst="rect">
                    <a:avLst/>
                  </a:prstGeom>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F09" w:rsidRDefault="00313F09" w:rsidP="009656E3">
      <w:r>
        <w:separator/>
      </w:r>
    </w:p>
  </w:footnote>
  <w:footnote w:type="continuationSeparator" w:id="0">
    <w:p w:rsidR="00313F09" w:rsidRDefault="00313F09" w:rsidP="009656E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AD7" w:rsidRDefault="00313F09" w:rsidP="009656E3">
    <w:pPr>
      <w:pStyle w:val="Kopfzeile"/>
      <w:tabs>
        <w:tab w:val="center" w:pos="0"/>
      </w:tabs>
    </w:pPr>
    <w:r>
      <w:rPr>
        <w:noProof/>
      </w:rPr>
      <w:drawing>
        <wp:anchor distT="0" distB="0" distL="114300" distR="114300" simplePos="0" relativeHeight="251661312" behindDoc="1" locked="0" layoutInCell="1" allowOverlap="1">
          <wp:simplePos x="0" y="0"/>
          <wp:positionH relativeFrom="column">
            <wp:posOffset>-713740</wp:posOffset>
          </wp:positionH>
          <wp:positionV relativeFrom="paragraph">
            <wp:posOffset>2950845</wp:posOffset>
          </wp:positionV>
          <wp:extent cx="173355" cy="45720"/>
          <wp:effectExtent l="0" t="0" r="4445" b="508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_RGB.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73355" cy="45720"/>
                  </a:xfrm>
                  <a:prstGeom prst="rect">
                    <a:avLst/>
                  </a:prstGeom>
                  <a:extLst>
                    <a:ext uri="{FAA26D3D-D897-4be2-8F04-BA451C77F1D7}">
                      <ma14:placeholder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noProof/>
      </w:rPr>
      <w:drawing>
        <wp:anchor distT="0" distB="0" distL="114300" distR="114300" simplePos="0" relativeHeight="251658240" behindDoc="1" locked="1" layoutInCell="1" allowOverlap="0">
          <wp:simplePos x="0" y="0"/>
          <wp:positionH relativeFrom="column">
            <wp:posOffset>3924300</wp:posOffset>
          </wp:positionH>
          <wp:positionV relativeFrom="paragraph">
            <wp:posOffset>103505</wp:posOffset>
          </wp:positionV>
          <wp:extent cx="2374265" cy="362585"/>
          <wp:effectExtent l="0" t="0" r="0"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374265" cy="362585"/>
                  </a:xfrm>
                  <a:prstGeom prst="rect">
                    <a:avLst/>
                  </a:prstGeom>
                  <a:extLst>
                    <a:ext uri="{FAA26D3D-D897-4be2-8F04-BA451C77F1D7}">
                      <ma14:placeholder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AD7" w:rsidRDefault="00313F09">
    <w:pPr>
      <w:pStyle w:val="Kopfzeile"/>
    </w:pPr>
    <w:r w:rsidRPr="004A7C20">
      <w:rPr>
        <w:noProof/>
      </w:rPr>
      <w:drawing>
        <wp:anchor distT="0" distB="0" distL="114300" distR="114300" simplePos="0" relativeHeight="251666432" behindDoc="1" locked="0" layoutInCell="1" allowOverlap="1">
          <wp:simplePos x="0" y="0"/>
          <wp:positionH relativeFrom="column">
            <wp:posOffset>-721360</wp:posOffset>
          </wp:positionH>
          <wp:positionV relativeFrom="paragraph">
            <wp:posOffset>2950845</wp:posOffset>
          </wp:positionV>
          <wp:extent cx="173355" cy="45720"/>
          <wp:effectExtent l="0" t="0" r="4445" b="508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_RGB.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73355" cy="45720"/>
                  </a:xfrm>
                  <a:prstGeom prst="rect">
                    <a:avLst/>
                  </a:prstGeom>
                  <a:extLst>
                    <a:ext uri="{FAA26D3D-D897-4be2-8F04-BA451C77F1D7}">
                      <ma14:placeholder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A7C20">
      <w:rPr>
        <w:noProof/>
      </w:rPr>
      <w:drawing>
        <wp:anchor distT="0" distB="0" distL="114300" distR="114300" simplePos="0" relativeHeight="251663360" behindDoc="1" locked="1" layoutInCell="1" allowOverlap="0">
          <wp:simplePos x="0" y="0"/>
          <wp:positionH relativeFrom="column">
            <wp:posOffset>3903980</wp:posOffset>
          </wp:positionH>
          <wp:positionV relativeFrom="paragraph">
            <wp:posOffset>104140</wp:posOffset>
          </wp:positionV>
          <wp:extent cx="2374265" cy="362585"/>
          <wp:effectExtent l="0" t="0" r="0" b="0"/>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374265" cy="362585"/>
                  </a:xfrm>
                  <a:prstGeom prst="rect">
                    <a:avLst/>
                  </a:prstGeom>
                  <a:extLst>
                    <a:ext uri="{FAA26D3D-D897-4be2-8F04-BA451C77F1D7}">
                      <ma14:placeholder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BE6348"/>
    <w:multiLevelType w:val="hybridMultilevel"/>
    <w:tmpl w:val="0F245354"/>
    <w:lvl w:ilvl="0" w:tplc="D3F85C3E">
      <w:numFmt w:val="bullet"/>
      <w:lvlText w:val="-"/>
      <w:lvlJc w:val="left"/>
      <w:pPr>
        <w:ind w:left="720" w:hanging="360"/>
      </w:pPr>
      <w:rPr>
        <w:rFonts w:ascii="Calibri" w:eastAsia="Times New Roman" w:hAnsi="Calibri" w:cs="Lucida Grande"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014E76"/>
    <w:multiLevelType w:val="hybridMultilevel"/>
    <w:tmpl w:val="A4980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8065616"/>
    <w:multiLevelType w:val="hybridMultilevel"/>
    <w:tmpl w:val="0F245354"/>
    <w:lvl w:ilvl="0" w:tplc="D3F85C3E">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B9187E"/>
    <w:rsid w:val="00313F09"/>
  </w:rsids>
  <m:mathPr>
    <m:mathFont m:val="Wingdings 2"/>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4"/>
        <w:szCs w:val="24"/>
        <w:lang w:val="de-DE" w:eastAsia="de-DE"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Standard">
    <w:name w:val="Normal"/>
    <w:qFormat/>
    <w:rsid w:val="00D53DF1"/>
    <w:rPr>
      <w:rFonts w:ascii="Courier" w:eastAsia="Times New Roman" w:hAnsi="Courier" w:cs="Times New Roman"/>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link w:val="SprechblasentextZeichen"/>
    <w:uiPriority w:val="99"/>
    <w:semiHidden/>
    <w:unhideWhenUsed/>
    <w:rsid w:val="006466EB"/>
    <w:rPr>
      <w:rFonts w:ascii="Lucida Grande" w:eastAsiaTheme="minorEastAsia"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466EB"/>
    <w:rPr>
      <w:rFonts w:ascii="Lucida Grande" w:hAnsi="Lucida Grande" w:cs="Lucida Grande"/>
      <w:sz w:val="18"/>
      <w:szCs w:val="18"/>
    </w:rPr>
  </w:style>
  <w:style w:type="paragraph" w:customStyle="1" w:styleId="Premiere">
    <w:name w:val="Premiere !"/>
    <w:next w:val="Standard"/>
    <w:qFormat/>
    <w:rsid w:val="00D52824"/>
    <w:pPr>
      <w:spacing w:after="12"/>
    </w:pPr>
  </w:style>
  <w:style w:type="paragraph" w:customStyle="1" w:styleId="jkjkljkljlk">
    <w:name w:val="jkjkljköljölk"/>
    <w:basedOn w:val="Standard"/>
    <w:qFormat/>
    <w:rsid w:val="00D52824"/>
    <w:pPr>
      <w:spacing w:line="220" w:lineRule="atLeast"/>
    </w:pPr>
    <w:rPr>
      <w:rFonts w:ascii="Arial" w:eastAsiaTheme="minorEastAsia" w:hAnsi="Arial" w:cs="Arial"/>
      <w:szCs w:val="20"/>
    </w:rPr>
  </w:style>
  <w:style w:type="paragraph" w:customStyle="1" w:styleId="Premiere0">
    <w:name w:val="Premiere"/>
    <w:basedOn w:val="Standard"/>
    <w:qFormat/>
    <w:rsid w:val="00D52824"/>
    <w:pPr>
      <w:spacing w:line="220" w:lineRule="atLeast"/>
    </w:pPr>
    <w:rPr>
      <w:rFonts w:ascii="Arial" w:eastAsiaTheme="minorEastAsia" w:hAnsi="Arial" w:cs="Arial"/>
      <w:b/>
      <w:color w:val="A41522"/>
    </w:rPr>
  </w:style>
  <w:style w:type="paragraph" w:styleId="Kopfzeile">
    <w:name w:val="header"/>
    <w:basedOn w:val="Standard"/>
    <w:link w:val="KopfzeileZeichen"/>
    <w:uiPriority w:val="99"/>
    <w:unhideWhenUsed/>
    <w:rsid w:val="00533E6B"/>
    <w:pPr>
      <w:tabs>
        <w:tab w:val="center" w:pos="4536"/>
        <w:tab w:val="right" w:pos="9072"/>
      </w:tabs>
    </w:pPr>
    <w:rPr>
      <w:rFonts w:ascii="Arial" w:eastAsiaTheme="minorEastAsia" w:hAnsi="Arial" w:cs="Arial"/>
      <w:sz w:val="20"/>
      <w:szCs w:val="20"/>
    </w:rPr>
  </w:style>
  <w:style w:type="character" w:customStyle="1" w:styleId="KopfzeileZeichen">
    <w:name w:val="Kopfzeile Zeichen"/>
    <w:basedOn w:val="Absatzstandardschriftart"/>
    <w:link w:val="Kopfzeile"/>
    <w:uiPriority w:val="99"/>
    <w:rsid w:val="00533E6B"/>
  </w:style>
  <w:style w:type="paragraph" w:styleId="Fuzeile">
    <w:name w:val="footer"/>
    <w:basedOn w:val="Standard"/>
    <w:link w:val="FuzeileZeichen"/>
    <w:uiPriority w:val="99"/>
    <w:unhideWhenUsed/>
    <w:rsid w:val="00533E6B"/>
    <w:pPr>
      <w:tabs>
        <w:tab w:val="center" w:pos="4536"/>
        <w:tab w:val="right" w:pos="9072"/>
      </w:tabs>
    </w:pPr>
    <w:rPr>
      <w:rFonts w:ascii="Arial" w:eastAsiaTheme="minorEastAsia" w:hAnsi="Arial" w:cs="Arial"/>
      <w:sz w:val="20"/>
      <w:szCs w:val="20"/>
    </w:rPr>
  </w:style>
  <w:style w:type="character" w:customStyle="1" w:styleId="FuzeileZeichen">
    <w:name w:val="Fußzeile Zeichen"/>
    <w:basedOn w:val="Absatzstandardschriftart"/>
    <w:link w:val="Fuzeile"/>
    <w:uiPriority w:val="99"/>
    <w:rsid w:val="00533E6B"/>
  </w:style>
  <w:style w:type="paragraph" w:customStyle="1" w:styleId="Flietext">
    <w:name w:val="Fließtext"/>
    <w:basedOn w:val="Standard"/>
    <w:autoRedefine/>
    <w:rsid w:val="00D53DF1"/>
    <w:pPr>
      <w:tabs>
        <w:tab w:val="left" w:pos="8505"/>
      </w:tabs>
      <w:spacing w:line="260" w:lineRule="exact"/>
    </w:pPr>
    <w:rPr>
      <w:rFonts w:ascii="Arial" w:hAnsi="Arial"/>
      <w:sz w:val="20"/>
    </w:rPr>
  </w:style>
  <w:style w:type="character" w:styleId="Link">
    <w:name w:val="Hyperlink"/>
    <w:basedOn w:val="Absatzstandardschriftart"/>
    <w:rsid w:val="00B9187E"/>
    <w:rPr>
      <w:color w:val="0000FF" w:themeColor="hyperlink"/>
      <w:u w:val="single"/>
    </w:rPr>
  </w:style>
  <w:style w:type="paragraph" w:styleId="Listenabsatz">
    <w:name w:val="List Paragraph"/>
    <w:basedOn w:val="Standard"/>
    <w:rsid w:val="009656E3"/>
    <w:pPr>
      <w:ind w:left="720"/>
      <w:contextualSpacing/>
    </w:pPr>
  </w:style>
  <w:style w:type="character" w:styleId="GesichteterLink">
    <w:name w:val="FollowedHyperlink"/>
    <w:basedOn w:val="Absatzstandardschriftart"/>
    <w:rsid w:val="009656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118625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christoph-kommunikation.de"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erbbaurechtsverband.de/kongress2017" TargetMode="External"/><Relationship Id="rId9" Type="http://schemas.openxmlformats.org/officeDocument/2006/relationships/hyperlink" Target="http://www.erbbaurechtsverband.de" TargetMode="External"/><Relationship Id="rId10" Type="http://schemas.openxmlformats.org/officeDocument/2006/relationships/hyperlink" Target="mailto:info@christoph-kommunikatio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491</Words>
  <Characters>2799</Characters>
  <Application>Microsoft Macintosh Word</Application>
  <DocSecurity>0</DocSecurity>
  <Lines>23</Lines>
  <Paragraphs>5</Paragraphs>
  <ScaleCrop>false</ScaleCrop>
  <Company>Janssen Kahlert</Company>
  <LinksUpToDate>false</LinksUpToDate>
  <CharactersWithSpaces>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Cathrin Christoph</dc:creator>
  <cp:lastModifiedBy>Cathrin Christoph</cp:lastModifiedBy>
  <cp:revision>3</cp:revision>
  <cp:lastPrinted>2016-11-15T10:18:00Z</cp:lastPrinted>
  <dcterms:created xsi:type="dcterms:W3CDTF">2016-12-22T14:41:00Z</dcterms:created>
  <dcterms:modified xsi:type="dcterms:W3CDTF">2016-12-22T14:43:00Z</dcterms:modified>
</cp:coreProperties>
</file>